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C" w:rsidRDefault="00652F7C" w:rsidP="002C37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TUSKEGEEE STUDY OF UNTREATED </w:t>
      </w:r>
      <w:r>
        <w:rPr>
          <w:b/>
          <w:sz w:val="24"/>
          <w:szCs w:val="24"/>
        </w:rPr>
        <w:t>SYPHILIS</w:t>
      </w:r>
      <w:r>
        <w:rPr>
          <w:b/>
          <w:sz w:val="24"/>
          <w:szCs w:val="24"/>
        </w:rPr>
        <w:t xml:space="preserve"> IN THE NEGRO MALE</w:t>
      </w:r>
      <w:r w:rsidR="002C37A0">
        <w:rPr>
          <w:b/>
          <w:sz w:val="24"/>
          <w:szCs w:val="24"/>
        </w:rPr>
        <w:t xml:space="preserve"> </w:t>
      </w:r>
      <w:r w:rsidR="002C37A0">
        <w:rPr>
          <w:b/>
          <w:sz w:val="24"/>
          <w:szCs w:val="24"/>
        </w:rPr>
        <w:t>TIMELINE</w:t>
      </w:r>
      <w:bookmarkStart w:id="0" w:name="_GoBack"/>
      <w:bookmarkEnd w:id="0"/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 xml:space="preserve">1895, Booker T. Washington at the Atlanta Cotton Exposition outlines his dream for Black economic </w:t>
      </w:r>
      <w:r w:rsidRPr="00652F7C">
        <w:t xml:space="preserve">development and gains support of northerner philanthropists, including Julius </w:t>
      </w:r>
      <w:proofErr w:type="spellStart"/>
      <w:r w:rsidRPr="00652F7C">
        <w:t>Rosenwald</w:t>
      </w:r>
      <w:proofErr w:type="spellEnd"/>
      <w:r w:rsidRPr="00652F7C">
        <w:t xml:space="preserve"> (founder of Sears).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 xml:space="preserve">1900, Tuskegee experiment gains widespread support.  </w:t>
      </w:r>
      <w:proofErr w:type="spellStart"/>
      <w:r w:rsidRPr="00652F7C">
        <w:t>Rosenwald</w:t>
      </w:r>
      <w:proofErr w:type="spellEnd"/>
      <w:r w:rsidRPr="00652F7C">
        <w:t xml:space="preserve"> Fund provides monies to </w:t>
      </w:r>
      <w:proofErr w:type="gramStart"/>
      <w:r w:rsidRPr="00652F7C">
        <w:t>develops</w:t>
      </w:r>
      <w:proofErr w:type="gramEnd"/>
      <w:r w:rsidRPr="00652F7C">
        <w:t xml:space="preserve"> schools, factories, businesses, and agriculture.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>1915, Booker T. Washington dies, Robert Martin continues work.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>Many men returning from the First World War were infected with Syphilis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 xml:space="preserve">By 1924 almost one third of African Americans in Macon County of reproductive age was positive for Syphilis 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 xml:space="preserve">By 1926, Aggressive treatment approach initiated with Mercury and Bismuth.  Cure rate is less than 30 </w:t>
      </w:r>
      <w:proofErr w:type="gramStart"/>
      <w:r w:rsidRPr="00652F7C">
        <w:t>percent,</w:t>
      </w:r>
      <w:proofErr w:type="gramEnd"/>
      <w:r w:rsidRPr="00652F7C">
        <w:t xml:space="preserve"> treatment requires months and side effect s are toxic, sometimes fatal.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>1929, “Wall Street Crash”; economic Depression begins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 xml:space="preserve">1931, </w:t>
      </w:r>
      <w:proofErr w:type="spellStart"/>
      <w:r w:rsidRPr="00652F7C">
        <w:t>Rosenwald</w:t>
      </w:r>
      <w:proofErr w:type="spellEnd"/>
      <w:r w:rsidRPr="00652F7C">
        <w:t xml:space="preserve"> Fund cuts support to development projects.  Clark and </w:t>
      </w:r>
      <w:proofErr w:type="spellStart"/>
      <w:r w:rsidRPr="00652F7C">
        <w:t>Vonderlehr</w:t>
      </w:r>
      <w:proofErr w:type="spellEnd"/>
      <w:r w:rsidRPr="00652F7C">
        <w:t xml:space="preserve"> decide to follo</w:t>
      </w:r>
      <w:r w:rsidRPr="00652F7C">
        <w:t>w men left untreated due to lack of funds, to show need for treatment program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>In the end: “a good thing went bad”  it became the most well managed yet unethical medical studies in the Histo</w:t>
      </w:r>
      <w:r w:rsidRPr="00652F7C">
        <w:t>ry of the US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 xml:space="preserve">1932, Follow-up effort organized into study of 399 men with syphilis and 201 without. The men would be given annual physical assessments.  </w:t>
      </w:r>
      <w:proofErr w:type="spellStart"/>
      <w:r w:rsidRPr="00652F7C">
        <w:t>Motin</w:t>
      </w:r>
      <w:proofErr w:type="spellEnd"/>
      <w:r w:rsidRPr="00652F7C">
        <w:t xml:space="preserve"> agrees to support study if “Tuskegee gets its full share of the credit” and Black professionals are involved (Dibble and Rivers are assigned to the study).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>1934, First papers suggest health effects of untreated syphilis.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>1936, Study criticized because it is not known if the me</w:t>
      </w:r>
      <w:r w:rsidRPr="00652F7C">
        <w:t>n are being treated.  Local physicians asked to assist and asked not to treat men.  It was also decided to follow the men until death.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 xml:space="preserve">1940, Efforts to hinder men from getting treatment by </w:t>
      </w:r>
      <w:r w:rsidRPr="00652F7C">
        <w:t>military draft effort.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>1945, Penicillin accepted as treatment of choice for syphilis.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>1947, US PHS establishes “Rapid Treatment Centers” to treat syphilis, men in study are not treated, but syphilis declines.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 xml:space="preserve">1962, </w:t>
      </w:r>
      <w:proofErr w:type="gramStart"/>
      <w:r w:rsidRPr="00652F7C">
        <w:t>Since</w:t>
      </w:r>
      <w:proofErr w:type="gramEnd"/>
      <w:r w:rsidRPr="00652F7C">
        <w:t xml:space="preserve"> 1947, 127 Black medical students are rotated through the unit doing the study.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 xml:space="preserve">1968, Peter </w:t>
      </w:r>
      <w:proofErr w:type="spellStart"/>
      <w:r w:rsidRPr="00652F7C">
        <w:t>Bauxum</w:t>
      </w:r>
      <w:proofErr w:type="spellEnd"/>
      <w:r w:rsidRPr="00652F7C">
        <w:t xml:space="preserve"> and others, raised concern about the ethics of the study.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>1969, CDC reaffirms need for study and gains local medical societies support</w:t>
      </w:r>
      <w:r w:rsidRPr="00652F7C">
        <w:t xml:space="preserve"> (AMA and NMA chapters officially support continuation of study).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>1970, First news articles condemns studies.</w:t>
      </w:r>
    </w:p>
    <w:p w:rsidR="00000000" w:rsidRPr="00652F7C" w:rsidRDefault="002C37A0" w:rsidP="00652F7C">
      <w:pPr>
        <w:numPr>
          <w:ilvl w:val="0"/>
          <w:numId w:val="1"/>
        </w:numPr>
      </w:pPr>
      <w:r w:rsidRPr="00652F7C">
        <w:t>1971, Congre</w:t>
      </w:r>
      <w:r w:rsidRPr="00652F7C">
        <w:t>ss holds hearings and law suit initiated.</w:t>
      </w:r>
    </w:p>
    <w:p w:rsidR="00CC1D25" w:rsidRDefault="002C37A0" w:rsidP="00652F7C">
      <w:pPr>
        <w:numPr>
          <w:ilvl w:val="0"/>
          <w:numId w:val="1"/>
        </w:numPr>
      </w:pPr>
      <w:r w:rsidRPr="00652F7C">
        <w:t>1972, Study ends and participants compensated with cash and continued medical treatment.</w:t>
      </w:r>
    </w:p>
    <w:sectPr w:rsidR="00CC1D25" w:rsidSect="00652F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7EE"/>
    <w:multiLevelType w:val="hybridMultilevel"/>
    <w:tmpl w:val="E63E9176"/>
    <w:lvl w:ilvl="0" w:tplc="06206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EC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45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201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96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2E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07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C27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AA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5A51B1"/>
    <w:multiLevelType w:val="hybridMultilevel"/>
    <w:tmpl w:val="5AA84266"/>
    <w:lvl w:ilvl="0" w:tplc="AEFC7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AD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6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7AD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802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03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CAC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6A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07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017EF9"/>
    <w:multiLevelType w:val="hybridMultilevel"/>
    <w:tmpl w:val="CE124680"/>
    <w:lvl w:ilvl="0" w:tplc="1EC8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8B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6E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AE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4E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E7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EAA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C6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E6A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407592"/>
    <w:multiLevelType w:val="hybridMultilevel"/>
    <w:tmpl w:val="84064672"/>
    <w:lvl w:ilvl="0" w:tplc="EDEE6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EB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705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89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E6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7E9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F03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BA1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8E0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CDA7E89"/>
    <w:multiLevelType w:val="hybridMultilevel"/>
    <w:tmpl w:val="5C361C5A"/>
    <w:lvl w:ilvl="0" w:tplc="11D8E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A6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2E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3C7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18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C60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CA2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C4A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987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C"/>
    <w:rsid w:val="002C37A0"/>
    <w:rsid w:val="00652F7C"/>
    <w:rsid w:val="00CC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2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9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9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3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5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3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1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8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2</cp:revision>
  <cp:lastPrinted>2011-09-21T13:38:00Z</cp:lastPrinted>
  <dcterms:created xsi:type="dcterms:W3CDTF">2011-09-21T13:40:00Z</dcterms:created>
  <dcterms:modified xsi:type="dcterms:W3CDTF">2011-09-21T13:40:00Z</dcterms:modified>
</cp:coreProperties>
</file>